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972C1" w14:textId="77777777" w:rsidR="00671C1F" w:rsidRPr="006B3914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</w:pPr>
      <w:bookmarkStart w:id="0" w:name="_Hlk57709209"/>
      <w:r w:rsidRPr="006B3914"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  <w:t>ATLAS DE LA BIODIVERSITÉ COMMUNALE</w:t>
      </w:r>
    </w:p>
    <w:p w14:paraId="17A43D5E" w14:textId="455E5F7B" w:rsidR="00671C1F" w:rsidRPr="006B3914" w:rsidRDefault="00321ECC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</w:pPr>
      <w:r w:rsidRPr="006B3914"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  <w:t>CAMPAGNE</w:t>
      </w:r>
      <w:r w:rsidR="00671C1F" w:rsidRPr="006B3914"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  <w:t xml:space="preserve"> ABC </w:t>
      </w:r>
      <w:r w:rsidR="00521C0B" w:rsidRPr="006B3914"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  <w:t>202</w:t>
      </w:r>
      <w:r w:rsidR="003574A8" w:rsidRPr="006B3914"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  <w:t>5</w:t>
      </w:r>
    </w:p>
    <w:p w14:paraId="5081BE7C" w14:textId="77777777" w:rsidR="006B3914" w:rsidRPr="006B3914" w:rsidRDefault="006B3914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</w:pPr>
    </w:p>
    <w:p w14:paraId="7FD6A2DF" w14:textId="77777777" w:rsidR="006B3914" w:rsidRPr="006B3914" w:rsidRDefault="006B3914" w:rsidP="006B3914">
      <w:pPr>
        <w:spacing w:after="240" w:line="240" w:lineRule="auto"/>
        <w:ind w:left="720"/>
        <w:jc w:val="both"/>
        <w:textAlignment w:val="baseline"/>
        <w:rPr>
          <w:rFonts w:ascii="Marianne" w:eastAsia="Times New Roman" w:hAnsi="Marianne" w:cs="Arial"/>
          <w:color w:val="002060"/>
          <w:sz w:val="20"/>
          <w:szCs w:val="20"/>
          <w:lang w:eastAsia="fr-FR"/>
        </w:rPr>
      </w:pPr>
    </w:p>
    <w:p w14:paraId="68B0BA13" w14:textId="5F48471C" w:rsidR="006B3914" w:rsidRPr="006B3914" w:rsidRDefault="006B3914" w:rsidP="006B3914">
      <w:pPr>
        <w:spacing w:after="240" w:line="240" w:lineRule="auto"/>
        <w:jc w:val="both"/>
        <w:textAlignment w:val="baseline"/>
        <w:rPr>
          <w:rFonts w:ascii="Marianne" w:eastAsia="Times New Roman" w:hAnsi="Marianne" w:cs="Arial"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1. Présentez en quelques lignes votre projet :</w:t>
      </w:r>
      <w:r w:rsidRPr="006B3914"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 xml:space="preserve"> en quoi votre projet explore-t-il les relations au vivant et/ou en quoi votre démarche d’ABC est-elle pensée comme un outil de </w:t>
      </w:r>
      <w:r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>(</w:t>
      </w:r>
      <w:r w:rsidRPr="006B3914"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>re</w:t>
      </w:r>
      <w:r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>)</w:t>
      </w:r>
      <w:r w:rsidRPr="006B3914"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 xml:space="preserve">connexion </w:t>
      </w:r>
      <w:bookmarkStart w:id="1" w:name="_GoBack"/>
      <w:bookmarkEnd w:id="1"/>
      <w:r w:rsidRPr="006B3914">
        <w:rPr>
          <w:rFonts w:ascii="Marianne" w:eastAsia="Times New Roman" w:hAnsi="Marianne" w:cs="Arial"/>
          <w:color w:val="002060"/>
          <w:sz w:val="20"/>
          <w:szCs w:val="20"/>
          <w:lang w:eastAsia="fr-FR"/>
        </w:rPr>
        <w:t>au vivant ?</w:t>
      </w:r>
    </w:p>
    <w:p w14:paraId="38540810" w14:textId="1FF18D8F" w:rsidR="006B3914" w:rsidRPr="006B3914" w:rsidRDefault="006B3914" w:rsidP="006B3914">
      <w:pPr>
        <w:spacing w:after="0" w:line="240" w:lineRule="auto"/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  <w:br/>
      </w:r>
      <w:r w:rsidRPr="006B3914"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  <w:t xml:space="preserve">2. </w:t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Parmi les différentes approches proposées en annexe 13 laquelle ou lesquelles sont principalement ciblée(s) ?</w:t>
      </w:r>
      <w:r w:rsidRPr="006B3914"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 xml:space="preserve"> (Cocher la case, et</w:t>
      </w:r>
      <w:r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 xml:space="preserve"> / ou</w:t>
      </w:r>
      <w:r w:rsidRPr="006B3914"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 xml:space="preserve"> préciser s’il</w:t>
      </w:r>
      <w:r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 xml:space="preserve"> s’agit d’une </w:t>
      </w:r>
      <w:r w:rsidRPr="006B3914"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>autre</w:t>
      </w:r>
      <w:r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 xml:space="preserve"> démarche</w:t>
      </w:r>
      <w:r w:rsidRPr="006B3914">
        <w:rPr>
          <w:rFonts w:ascii="Marianne" w:eastAsia="Times New Roman" w:hAnsi="Marianne" w:cs="Arial"/>
          <w:i/>
          <w:iCs/>
          <w:color w:val="002060"/>
          <w:sz w:val="20"/>
          <w:szCs w:val="20"/>
          <w:lang w:eastAsia="fr-FR"/>
        </w:rPr>
        <w:t>)</w:t>
      </w:r>
    </w:p>
    <w:p w14:paraId="586219BF" w14:textId="77777777" w:rsidR="006B3914" w:rsidRPr="006B3914" w:rsidRDefault="006B3914" w:rsidP="006B3914">
      <w:pPr>
        <w:spacing w:after="0" w:line="240" w:lineRule="auto"/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9"/>
        <w:gridCol w:w="2683"/>
      </w:tblGrid>
      <w:tr w:rsidR="006B3914" w:rsidRPr="006B3914" w14:paraId="37F71964" w14:textId="77777777" w:rsidTr="006B3914">
        <w:trPr>
          <w:trHeight w:val="747"/>
        </w:trPr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62EEC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Enquête auprès de la population (représentations et perceptions)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02D6CB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01BB7C52" w14:textId="77777777" w:rsidTr="006B3914">
        <w:trPr>
          <w:trHeight w:val="747"/>
        </w:trPr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95DDAF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Collecte de mémoires et de savoirs locaux</w:t>
            </w:r>
            <w:r w:rsidRPr="006B3914">
              <w:rPr>
                <w:rFonts w:ascii="Calibri" w:eastAsia="Times New Roman" w:hAnsi="Calibri" w:cs="Calibri"/>
                <w:color w:val="00206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663993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342D4BA8" w14:textId="77777777" w:rsidTr="006B3914">
        <w:trPr>
          <w:trHeight w:val="822"/>
        </w:trPr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9D06F2" w14:textId="77777777" w:rsidR="006B3914" w:rsidRPr="006B3914" w:rsidRDefault="006B3914" w:rsidP="006B3914">
            <w:pPr>
              <w:spacing w:after="240" w:line="240" w:lineRule="auto"/>
              <w:jc w:val="both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Mobilisation du registre artistique et sensible pour permettre l’expression des relations au vivant</w:t>
            </w:r>
            <w:r w:rsidRPr="006B3914">
              <w:rPr>
                <w:rFonts w:ascii="Calibri" w:eastAsia="Times New Roman" w:hAnsi="Calibri" w:cs="Calibri"/>
                <w:color w:val="00206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02B62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402BF700" w14:textId="77777777" w:rsidTr="006B3914"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B61F9" w14:textId="77777777" w:rsid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Prise en compte des relations humains non-humains dans les projets d’aménagement et de planification</w:t>
            </w:r>
          </w:p>
          <w:p w14:paraId="48BC4C04" w14:textId="2C050B9D" w:rsidR="006B3914" w:rsidRP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BD0313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329240D3" w14:textId="77777777" w:rsidTr="006B3914"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EC8B1" w14:textId="77777777" w:rsid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Prise en compte des non-humains dans la gouvernance</w:t>
            </w:r>
          </w:p>
          <w:p w14:paraId="71AF81A8" w14:textId="5C0A626D" w:rsidR="006B3914" w:rsidRP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0DEEE2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5DF4C64B" w14:textId="77777777" w:rsidTr="006B3914"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842E8" w14:textId="77777777" w:rsid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Prospective pour restaurer les relations au vivant</w:t>
            </w:r>
          </w:p>
          <w:p w14:paraId="2FCDA7B5" w14:textId="5615E0A7" w:rsidR="006B3914" w:rsidRPr="006B3914" w:rsidRDefault="006B3914" w:rsidP="006B3914">
            <w:pPr>
              <w:spacing w:after="0" w:line="240" w:lineRule="auto"/>
              <w:jc w:val="both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A7A869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  <w:tr w:rsidR="006B3914" w:rsidRPr="006B3914" w14:paraId="2ABC2881" w14:textId="77777777" w:rsidTr="006B3914">
        <w:tc>
          <w:tcPr>
            <w:tcW w:w="6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A6972" w14:textId="77777777" w:rsidR="006B3914" w:rsidRDefault="006B3914" w:rsidP="006B3914">
            <w:pPr>
              <w:spacing w:after="0" w:line="240" w:lineRule="auto"/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</w:pPr>
            <w:r w:rsidRPr="006B3914">
              <w:rPr>
                <w:rFonts w:ascii="Marianne" w:eastAsia="Times New Roman" w:hAnsi="Marianne" w:cs="Arial"/>
                <w:color w:val="002060"/>
                <w:sz w:val="20"/>
                <w:szCs w:val="20"/>
                <w:lang w:eastAsia="fr-FR"/>
              </w:rPr>
              <w:t>Autre (préciser)</w:t>
            </w:r>
          </w:p>
          <w:p w14:paraId="126818B8" w14:textId="750B88C2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90CC8" w14:textId="77777777" w:rsidR="006B3914" w:rsidRPr="006B3914" w:rsidRDefault="006B3914" w:rsidP="006B3914">
            <w:pPr>
              <w:spacing w:after="0" w:line="240" w:lineRule="auto"/>
              <w:rPr>
                <w:rFonts w:ascii="Marianne" w:eastAsia="Times New Roman" w:hAnsi="Marianne" w:cs="Times New Roman"/>
                <w:color w:val="002060"/>
                <w:sz w:val="20"/>
                <w:szCs w:val="20"/>
                <w:lang w:eastAsia="fr-FR"/>
              </w:rPr>
            </w:pPr>
          </w:p>
        </w:tc>
      </w:tr>
    </w:tbl>
    <w:p w14:paraId="07A8BA57" w14:textId="4A2E670B" w:rsidR="006B3914" w:rsidRPr="006B3914" w:rsidRDefault="006B3914" w:rsidP="006B3914">
      <w:pPr>
        <w:spacing w:after="0" w:line="240" w:lineRule="auto"/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  <w:br/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3. Quelle est la démarche méthodologique proposée (méthodes, outils, étapes…) ?</w:t>
      </w:r>
      <w:r w:rsidRPr="006B3914">
        <w:rPr>
          <w:rFonts w:ascii="Calibri" w:eastAsia="Times New Roman" w:hAnsi="Calibri" w:cs="Calibri"/>
          <w:b/>
          <w:color w:val="002060"/>
          <w:sz w:val="20"/>
          <w:szCs w:val="20"/>
          <w:lang w:eastAsia="fr-FR"/>
        </w:rPr>
        <w:t> </w:t>
      </w:r>
    </w:p>
    <w:p w14:paraId="1FC80FDD" w14:textId="5628D11F" w:rsidR="006B3914" w:rsidRPr="006B3914" w:rsidRDefault="006B3914" w:rsidP="006B3914">
      <w:pPr>
        <w:spacing w:after="0" w:line="240" w:lineRule="auto"/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  <w:br/>
      </w:r>
      <w:r w:rsidRPr="006B3914"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  <w:t xml:space="preserve">4. </w:t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Comment cela s’articule-t-il avec les trois volets (connaître, mobiliser, partager) du projet d’ABC ?</w:t>
      </w:r>
    </w:p>
    <w:p w14:paraId="237C962A" w14:textId="79D53149" w:rsidR="006B3914" w:rsidRPr="006B3914" w:rsidRDefault="006B3914" w:rsidP="006B3914">
      <w:pPr>
        <w:spacing w:after="0" w:line="240" w:lineRule="auto"/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  <w:br/>
      </w:r>
      <w:r w:rsidRPr="006B3914"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  <w:t xml:space="preserve">5. </w:t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Qui sont les personnes impliquées pour porter cette démarche de prise en compte des non-humains dans les ABC et quelles sont leurs compétences ?</w:t>
      </w:r>
    </w:p>
    <w:p w14:paraId="070AAAAD" w14:textId="02438AE1" w:rsidR="006B3914" w:rsidRPr="006B3914" w:rsidRDefault="006B3914" w:rsidP="006B3914">
      <w:pPr>
        <w:spacing w:after="0" w:line="240" w:lineRule="auto"/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</w:pPr>
      <w:r w:rsidRPr="006B3914">
        <w:rPr>
          <w:rFonts w:ascii="Marianne" w:eastAsia="Times New Roman" w:hAnsi="Marianne" w:cs="Times New Roman"/>
          <w:color w:val="002060"/>
          <w:sz w:val="20"/>
          <w:szCs w:val="20"/>
          <w:lang w:eastAsia="fr-FR"/>
        </w:rPr>
        <w:br/>
      </w:r>
      <w:r w:rsidRPr="006B3914"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  <w:t xml:space="preserve">6. </w:t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>Quel est le public cible (humains et non-humains) ?</w:t>
      </w:r>
    </w:p>
    <w:p w14:paraId="12D2FE51" w14:textId="4766B343" w:rsidR="00671C1F" w:rsidRPr="006B3914" w:rsidRDefault="006B3914" w:rsidP="006B3914">
      <w:pPr>
        <w:spacing w:after="0" w:line="240" w:lineRule="auto"/>
        <w:rPr>
          <w:rFonts w:ascii="Marianne" w:eastAsia="Times New Roman" w:hAnsi="Marianne" w:cstheme="minorHAnsi"/>
          <w:b/>
          <w:color w:val="002060"/>
          <w:sz w:val="20"/>
          <w:szCs w:val="20"/>
          <w:lang w:eastAsia="zh-CN"/>
        </w:rPr>
      </w:pPr>
      <w:r w:rsidRPr="006B3914">
        <w:rPr>
          <w:rFonts w:ascii="Marianne" w:eastAsia="Times New Roman" w:hAnsi="Marianne" w:cs="Times New Roman"/>
          <w:b/>
          <w:color w:val="002060"/>
          <w:sz w:val="20"/>
          <w:szCs w:val="20"/>
          <w:lang w:eastAsia="fr-FR"/>
        </w:rPr>
        <w:br/>
        <w:t xml:space="preserve">7. </w:t>
      </w:r>
      <w:r w:rsidRPr="006B3914">
        <w:rPr>
          <w:rFonts w:ascii="Marianne" w:eastAsia="Times New Roman" w:hAnsi="Marianne" w:cs="Arial"/>
          <w:b/>
          <w:color w:val="002060"/>
          <w:sz w:val="20"/>
          <w:szCs w:val="20"/>
          <w:lang w:eastAsia="fr-FR"/>
        </w:rPr>
        <w:t xml:space="preserve">Quels sont les résultats attendus et les livrables prévus suite à ce travail sur les relations humains non-humains ? </w:t>
      </w:r>
    </w:p>
    <w:bookmarkEnd w:id="0"/>
    <w:sectPr w:rsidR="00671C1F" w:rsidRPr="006B3914" w:rsidSect="00AB062D">
      <w:headerReference w:type="first" r:id="rId8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B678" w14:textId="77777777" w:rsidR="00114147" w:rsidRDefault="00114147" w:rsidP="00B14F2D">
      <w:pPr>
        <w:spacing w:after="0" w:line="240" w:lineRule="auto"/>
      </w:pPr>
      <w:r>
        <w:separator/>
      </w:r>
    </w:p>
  </w:endnote>
  <w:endnote w:type="continuationSeparator" w:id="0">
    <w:p w14:paraId="5A594D0B" w14:textId="77777777" w:rsidR="00114147" w:rsidRDefault="00114147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3E2AD" w14:textId="77777777" w:rsidR="00114147" w:rsidRDefault="00114147" w:rsidP="00B14F2D">
      <w:pPr>
        <w:spacing w:after="0" w:line="240" w:lineRule="auto"/>
      </w:pPr>
      <w:r>
        <w:separator/>
      </w:r>
    </w:p>
  </w:footnote>
  <w:footnote w:type="continuationSeparator" w:id="0">
    <w:p w14:paraId="0F6595B2" w14:textId="77777777" w:rsidR="00114147" w:rsidRDefault="00114147" w:rsidP="00B1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36515" w14:textId="77777777" w:rsidR="00B16C9F" w:rsidRDefault="00B16C9F">
    <w:pPr>
      <w:pStyle w:val="En-tte"/>
    </w:pPr>
    <w:bookmarkStart w:id="2" w:name="_Hlk57709180"/>
    <w:bookmarkStart w:id="3" w:name="_Hlk57709181"/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624F2B" wp14:editId="2696BB21">
              <wp:simplePos x="0" y="0"/>
              <wp:positionH relativeFrom="column">
                <wp:posOffset>1671955</wp:posOffset>
              </wp:positionH>
              <wp:positionV relativeFrom="paragraph">
                <wp:posOffset>354330</wp:posOffset>
              </wp:positionV>
              <wp:extent cx="3780155" cy="1404620"/>
              <wp:effectExtent l="0" t="0" r="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7651EB" w14:textId="77777777" w:rsidR="00834505" w:rsidRDefault="006B3914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ADDENDUM à la</w:t>
                          </w:r>
                        </w:p>
                        <w:p w14:paraId="17004A96" w14:textId="6926E6EF" w:rsidR="00B16C9F" w:rsidRPr="00B16C9F" w:rsidRDefault="00B16C9F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 w:rsidRPr="00B16C9F"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FICHE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624F2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31.65pt;margin-top:27.9pt;width:297.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WjIJgIAACMEAAAOAAAAZHJzL2Uyb0RvYy54bWysU01vGyEQvVfqf0Dc6/2oHTsrr6PUqatK&#10;6YeU9tIby7JeVGAoYO+mv74D6zhWeqvKAQEzPN68eaxvRq3IUTgvwdS0mOWUCMOhlWZf0+/fdm9W&#10;lPjATMsUGFHTR+Hpzeb1q/VgK1FCD6oVjiCI8dVga9qHYKss87wXmvkZWGEw2IHTLODW7bPWsQHR&#10;tcrKPL/KBnCtdcCF93h6NwXpJuF3neDhS9d5EYiqKXILaXZpbuKcbdas2jtme8lPNNg/sNBMGnz0&#10;DHXHAiMHJ/+C0pI78NCFGQedQddJLlINWE2Rv6jmoWdWpFpQHG/PMvn/B8s/H786ItualsWSEsM0&#10;NukHtoq0ggQxBkHKKNJgfYW5Dxazw/gORmx2Ktjbe+A/PTGw7ZnZi1vnYOgFa5FkEW9mF1cnHB9B&#10;muETtPgWOwRIQGPndFQQNSGIjs16PDcIeRCOh2+Xq7xYLCjhGCvm+fyqTC3MWPV03TofPgjQJC5q&#10;6tABCZ4d732IdFj1lBJf86Bku5NKpY3bN1vlyJGhW3ZppApepClDhppeL8pFQjYQ7ycjaRnQzUrq&#10;mq7yOCZ/RTnemzalBCbVtEYmypz0iZJM4oSxGTExitZA+4hKOZhci78MFz2435QM6Nia+l8H5gQl&#10;6qNBta+L+TxaPG3miyVKQ9xlpLmMMMMRqqaBkmm5DelbJB3sLXZlJ5Nez0xOXNGJScbTr4lWv9yn&#10;rOe/vfkDAAD//wMAUEsDBBQABgAIAAAAIQBTIt2r3gAAAAoBAAAPAAAAZHJzL2Rvd25yZXYueG1s&#10;TI/LTsMwEEX3SPyDNUjsqEOrpFGIU1VUbFggUZBg6caTOMIv2W4a/p5hBcvRPbpzbrtbrGEzxjR5&#10;J+B+VQBD13s1uVHA+9vTXQ0sZemUNN6hgG9MsOuur1rZKH9xrzgf88ioxKVGCtA5h4bz1Gu0Mq18&#10;QEfZ4KOVmc44chXlhcqt4euiqLiVk6MPWgZ81Nh/Hc9WwIfVkzrEl89BmfnwPOzLsMQgxO3Nsn8A&#10;lnHJfzD86pM6dOR08menEjMC1tVmQ6iAsqQJBNRlXQE7UbLdFsC7lv+f0P0AAAD//wMAUEsBAi0A&#10;FAAGAAgAAAAhALaDOJL+AAAA4QEAABMAAAAAAAAAAAAAAAAAAAAAAFtDb250ZW50X1R5cGVzXS54&#10;bWxQSwECLQAUAAYACAAAACEAOP0h/9YAAACUAQAACwAAAAAAAAAAAAAAAAAvAQAAX3JlbHMvLnJl&#10;bHNQSwECLQAUAAYACAAAACEALhloyCYCAAAjBAAADgAAAAAAAAAAAAAAAAAuAgAAZHJzL2Uyb0Rv&#10;Yy54bWxQSwECLQAUAAYACAAAACEAUyLdq94AAAAKAQAADwAAAAAAAAAAAAAAAACABAAAZHJzL2Rv&#10;d25yZXYueG1sUEsFBgAAAAAEAAQA8wAAAIsFAAAAAA==&#10;" stroked="f">
              <v:textbox style="mso-fit-shape-to-text:t">
                <w:txbxContent>
                  <w:p w14:paraId="147651EB" w14:textId="77777777" w:rsidR="00834505" w:rsidRDefault="006B3914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ADDENDUM à la</w:t>
                    </w:r>
                  </w:p>
                  <w:p w14:paraId="17004A96" w14:textId="6926E6EF" w:rsidR="00B16C9F" w:rsidRPr="00B16C9F" w:rsidRDefault="00B16C9F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 w:rsidRPr="00B16C9F"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FICHE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251659264" behindDoc="0" locked="0" layoutInCell="1" allowOverlap="1" wp14:anchorId="50E0AA6F" wp14:editId="55F74CEC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2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6C2019C"/>
    <w:multiLevelType w:val="hybridMultilevel"/>
    <w:tmpl w:val="198A39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C167C"/>
    <w:multiLevelType w:val="multilevel"/>
    <w:tmpl w:val="7D9AF6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86033"/>
    <w:multiLevelType w:val="hybridMultilevel"/>
    <w:tmpl w:val="BE2401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777B85"/>
    <w:multiLevelType w:val="multilevel"/>
    <w:tmpl w:val="DA3A9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C0A8A"/>
    <w:multiLevelType w:val="hybridMultilevel"/>
    <w:tmpl w:val="E9E0E3BA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0F524A"/>
    <w:multiLevelType w:val="hybridMultilevel"/>
    <w:tmpl w:val="DC322CB4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951DF"/>
    <w:multiLevelType w:val="hybridMultilevel"/>
    <w:tmpl w:val="3E08052E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A5F92"/>
    <w:multiLevelType w:val="multilevel"/>
    <w:tmpl w:val="8404F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8D2D4E"/>
    <w:multiLevelType w:val="hybridMultilevel"/>
    <w:tmpl w:val="661A6F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945990"/>
    <w:multiLevelType w:val="multilevel"/>
    <w:tmpl w:val="88D028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E058E4"/>
    <w:multiLevelType w:val="hybridMultilevel"/>
    <w:tmpl w:val="1B68E9E6"/>
    <w:lvl w:ilvl="0" w:tplc="91D08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D2E48"/>
    <w:multiLevelType w:val="hybridMultilevel"/>
    <w:tmpl w:val="5ED6D598"/>
    <w:lvl w:ilvl="0" w:tplc="7EBEDDD6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9794751"/>
    <w:multiLevelType w:val="hybridMultilevel"/>
    <w:tmpl w:val="880CD8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20" w15:restartNumberingAfterBreak="0">
    <w:nsid w:val="5FCD7E2C"/>
    <w:multiLevelType w:val="multilevel"/>
    <w:tmpl w:val="412E1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2E6C4D"/>
    <w:multiLevelType w:val="multilevel"/>
    <w:tmpl w:val="0E5098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04981"/>
    <w:multiLevelType w:val="multilevel"/>
    <w:tmpl w:val="5DB8F8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26" w15:restartNumberingAfterBreak="0">
    <w:nsid w:val="748E2F79"/>
    <w:multiLevelType w:val="hybridMultilevel"/>
    <w:tmpl w:val="D236FBB8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17F10"/>
    <w:multiLevelType w:val="hybridMultilevel"/>
    <w:tmpl w:val="AFE681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9"/>
  </w:num>
  <w:num w:numId="4">
    <w:abstractNumId w:val="0"/>
  </w:num>
  <w:num w:numId="5">
    <w:abstractNumId w:val="27"/>
  </w:num>
  <w:num w:numId="6">
    <w:abstractNumId w:val="7"/>
  </w:num>
  <w:num w:numId="7">
    <w:abstractNumId w:val="15"/>
  </w:num>
  <w:num w:numId="8">
    <w:abstractNumId w:val="3"/>
  </w:num>
  <w:num w:numId="9">
    <w:abstractNumId w:val="22"/>
  </w:num>
  <w:num w:numId="10">
    <w:abstractNumId w:val="23"/>
  </w:num>
  <w:num w:numId="11">
    <w:abstractNumId w:val="9"/>
  </w:num>
  <w:num w:numId="12">
    <w:abstractNumId w:val="13"/>
  </w:num>
  <w:num w:numId="13">
    <w:abstractNumId w:val="28"/>
  </w:num>
  <w:num w:numId="14">
    <w:abstractNumId w:val="4"/>
  </w:num>
  <w:num w:numId="15">
    <w:abstractNumId w:val="16"/>
  </w:num>
  <w:num w:numId="16">
    <w:abstractNumId w:val="11"/>
  </w:num>
  <w:num w:numId="17">
    <w:abstractNumId w:val="8"/>
  </w:num>
  <w:num w:numId="18">
    <w:abstractNumId w:val="17"/>
  </w:num>
  <w:num w:numId="19">
    <w:abstractNumId w:val="26"/>
  </w:num>
  <w:num w:numId="20">
    <w:abstractNumId w:val="20"/>
  </w:num>
  <w:num w:numId="21">
    <w:abstractNumId w:val="5"/>
    <w:lvlOverride w:ilvl="0">
      <w:lvl w:ilvl="0">
        <w:numFmt w:val="decimal"/>
        <w:lvlText w:val="%1."/>
        <w:lvlJc w:val="left"/>
      </w:lvl>
    </w:lvlOverride>
  </w:num>
  <w:num w:numId="22">
    <w:abstractNumId w:val="14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1"/>
    <w:lvlOverride w:ilvl="0">
      <w:lvl w:ilvl="0">
        <w:numFmt w:val="decimal"/>
        <w:lvlText w:val="%1."/>
        <w:lvlJc w:val="left"/>
      </w:lvl>
    </w:lvlOverride>
  </w:num>
  <w:num w:numId="25">
    <w:abstractNumId w:val="24"/>
    <w:lvlOverride w:ilvl="0">
      <w:lvl w:ilvl="0">
        <w:numFmt w:val="decimal"/>
        <w:lvlText w:val="%1."/>
        <w:lvlJc w:val="left"/>
      </w:lvl>
    </w:lvlOverride>
  </w:num>
  <w:num w:numId="26">
    <w:abstractNumId w:val="12"/>
  </w:num>
  <w:num w:numId="27">
    <w:abstractNumId w:val="1"/>
  </w:num>
  <w:num w:numId="28">
    <w:abstractNumId w:val="1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56"/>
    <w:rsid w:val="00003CE5"/>
    <w:rsid w:val="00021FCA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0C7C81"/>
    <w:rsid w:val="000D0796"/>
    <w:rsid w:val="0011172F"/>
    <w:rsid w:val="00113C07"/>
    <w:rsid w:val="00113C65"/>
    <w:rsid w:val="00114147"/>
    <w:rsid w:val="001143A3"/>
    <w:rsid w:val="0012261A"/>
    <w:rsid w:val="00135972"/>
    <w:rsid w:val="001658DE"/>
    <w:rsid w:val="00190DA5"/>
    <w:rsid w:val="001C79C5"/>
    <w:rsid w:val="001D071B"/>
    <w:rsid w:val="001D2989"/>
    <w:rsid w:val="001D3966"/>
    <w:rsid w:val="001F3F1E"/>
    <w:rsid w:val="001F440B"/>
    <w:rsid w:val="00201E8D"/>
    <w:rsid w:val="002251E6"/>
    <w:rsid w:val="00226967"/>
    <w:rsid w:val="002315CF"/>
    <w:rsid w:val="00243E89"/>
    <w:rsid w:val="002452F8"/>
    <w:rsid w:val="00245496"/>
    <w:rsid w:val="002C44F4"/>
    <w:rsid w:val="002C4965"/>
    <w:rsid w:val="002E6651"/>
    <w:rsid w:val="002F4966"/>
    <w:rsid w:val="002F4EEC"/>
    <w:rsid w:val="00310B64"/>
    <w:rsid w:val="00313130"/>
    <w:rsid w:val="00321ECC"/>
    <w:rsid w:val="00325879"/>
    <w:rsid w:val="00325E8B"/>
    <w:rsid w:val="00327521"/>
    <w:rsid w:val="00343CD1"/>
    <w:rsid w:val="00343D10"/>
    <w:rsid w:val="003574A8"/>
    <w:rsid w:val="00384939"/>
    <w:rsid w:val="00397C7B"/>
    <w:rsid w:val="003A04CA"/>
    <w:rsid w:val="003A74F6"/>
    <w:rsid w:val="003C001F"/>
    <w:rsid w:val="003C043F"/>
    <w:rsid w:val="003E5A02"/>
    <w:rsid w:val="00403E2C"/>
    <w:rsid w:val="00404C63"/>
    <w:rsid w:val="004073A3"/>
    <w:rsid w:val="00407C20"/>
    <w:rsid w:val="00412408"/>
    <w:rsid w:val="00427B85"/>
    <w:rsid w:val="00427CAD"/>
    <w:rsid w:val="00431E79"/>
    <w:rsid w:val="0044463E"/>
    <w:rsid w:val="00451B7C"/>
    <w:rsid w:val="004618CE"/>
    <w:rsid w:val="00464D3A"/>
    <w:rsid w:val="00467C20"/>
    <w:rsid w:val="004727DD"/>
    <w:rsid w:val="004746CA"/>
    <w:rsid w:val="0048321F"/>
    <w:rsid w:val="004851A8"/>
    <w:rsid w:val="004853F4"/>
    <w:rsid w:val="004A13D7"/>
    <w:rsid w:val="004A78AB"/>
    <w:rsid w:val="00516852"/>
    <w:rsid w:val="00517CAD"/>
    <w:rsid w:val="00521C0B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40E77"/>
    <w:rsid w:val="006533A9"/>
    <w:rsid w:val="00655028"/>
    <w:rsid w:val="006579AD"/>
    <w:rsid w:val="00671C1F"/>
    <w:rsid w:val="0068235D"/>
    <w:rsid w:val="00695007"/>
    <w:rsid w:val="00696ABD"/>
    <w:rsid w:val="006A268C"/>
    <w:rsid w:val="006A53C5"/>
    <w:rsid w:val="006B3914"/>
    <w:rsid w:val="006B7814"/>
    <w:rsid w:val="006C77C1"/>
    <w:rsid w:val="006D6813"/>
    <w:rsid w:val="006E1776"/>
    <w:rsid w:val="00734D6B"/>
    <w:rsid w:val="00736A8A"/>
    <w:rsid w:val="007378F8"/>
    <w:rsid w:val="007635C2"/>
    <w:rsid w:val="0078174D"/>
    <w:rsid w:val="00783F5E"/>
    <w:rsid w:val="007875F0"/>
    <w:rsid w:val="00794A18"/>
    <w:rsid w:val="007A7833"/>
    <w:rsid w:val="007C1171"/>
    <w:rsid w:val="007C29CF"/>
    <w:rsid w:val="007E00FF"/>
    <w:rsid w:val="007E1E6B"/>
    <w:rsid w:val="007E6B53"/>
    <w:rsid w:val="007F3F87"/>
    <w:rsid w:val="007F434C"/>
    <w:rsid w:val="00801C3F"/>
    <w:rsid w:val="00803A46"/>
    <w:rsid w:val="00810AB2"/>
    <w:rsid w:val="008321AF"/>
    <w:rsid w:val="00834505"/>
    <w:rsid w:val="00864CB2"/>
    <w:rsid w:val="008858FD"/>
    <w:rsid w:val="00895402"/>
    <w:rsid w:val="008C25A6"/>
    <w:rsid w:val="008D3047"/>
    <w:rsid w:val="008D47D9"/>
    <w:rsid w:val="008D511A"/>
    <w:rsid w:val="008D5393"/>
    <w:rsid w:val="008E0789"/>
    <w:rsid w:val="008E2672"/>
    <w:rsid w:val="008E7C0E"/>
    <w:rsid w:val="008F2723"/>
    <w:rsid w:val="00914849"/>
    <w:rsid w:val="00916546"/>
    <w:rsid w:val="00920453"/>
    <w:rsid w:val="00922E9B"/>
    <w:rsid w:val="009507F6"/>
    <w:rsid w:val="00955174"/>
    <w:rsid w:val="0096327D"/>
    <w:rsid w:val="009644F9"/>
    <w:rsid w:val="00970348"/>
    <w:rsid w:val="009772B3"/>
    <w:rsid w:val="009822DF"/>
    <w:rsid w:val="009855EB"/>
    <w:rsid w:val="00994B6A"/>
    <w:rsid w:val="00995A3D"/>
    <w:rsid w:val="009B1D37"/>
    <w:rsid w:val="009E1BD6"/>
    <w:rsid w:val="00A023E8"/>
    <w:rsid w:val="00A2518C"/>
    <w:rsid w:val="00A26038"/>
    <w:rsid w:val="00A27BDF"/>
    <w:rsid w:val="00A912F8"/>
    <w:rsid w:val="00AB062D"/>
    <w:rsid w:val="00AC69E3"/>
    <w:rsid w:val="00AD164D"/>
    <w:rsid w:val="00AD18F2"/>
    <w:rsid w:val="00AD3E53"/>
    <w:rsid w:val="00AD4CD3"/>
    <w:rsid w:val="00AD6971"/>
    <w:rsid w:val="00AF1507"/>
    <w:rsid w:val="00AF2ACF"/>
    <w:rsid w:val="00AF3A09"/>
    <w:rsid w:val="00AF6FF9"/>
    <w:rsid w:val="00B14DC2"/>
    <w:rsid w:val="00B14F2D"/>
    <w:rsid w:val="00B16C9F"/>
    <w:rsid w:val="00B16D7B"/>
    <w:rsid w:val="00B5734A"/>
    <w:rsid w:val="00B616AB"/>
    <w:rsid w:val="00B66B80"/>
    <w:rsid w:val="00B72447"/>
    <w:rsid w:val="00B931C1"/>
    <w:rsid w:val="00B960FA"/>
    <w:rsid w:val="00BF0B1A"/>
    <w:rsid w:val="00C011AC"/>
    <w:rsid w:val="00C01C04"/>
    <w:rsid w:val="00C15EDC"/>
    <w:rsid w:val="00C20FFD"/>
    <w:rsid w:val="00C33F4A"/>
    <w:rsid w:val="00C35B8D"/>
    <w:rsid w:val="00C3671E"/>
    <w:rsid w:val="00C42F2A"/>
    <w:rsid w:val="00C54F6D"/>
    <w:rsid w:val="00C7061B"/>
    <w:rsid w:val="00C73701"/>
    <w:rsid w:val="00C73D23"/>
    <w:rsid w:val="00CB0414"/>
    <w:rsid w:val="00CC0F80"/>
    <w:rsid w:val="00CD46FE"/>
    <w:rsid w:val="00CD4D56"/>
    <w:rsid w:val="00CD64AB"/>
    <w:rsid w:val="00CE4B70"/>
    <w:rsid w:val="00D063A4"/>
    <w:rsid w:val="00D073E5"/>
    <w:rsid w:val="00D21156"/>
    <w:rsid w:val="00D43E1B"/>
    <w:rsid w:val="00D44344"/>
    <w:rsid w:val="00D44BD2"/>
    <w:rsid w:val="00D62335"/>
    <w:rsid w:val="00D677CC"/>
    <w:rsid w:val="00D678EF"/>
    <w:rsid w:val="00D7061A"/>
    <w:rsid w:val="00D73FE7"/>
    <w:rsid w:val="00DA0C15"/>
    <w:rsid w:val="00DA6889"/>
    <w:rsid w:val="00DB43EE"/>
    <w:rsid w:val="00DD7413"/>
    <w:rsid w:val="00DF2E37"/>
    <w:rsid w:val="00DF5DA4"/>
    <w:rsid w:val="00E01FBF"/>
    <w:rsid w:val="00E045A0"/>
    <w:rsid w:val="00E131B6"/>
    <w:rsid w:val="00E53FEA"/>
    <w:rsid w:val="00E5421B"/>
    <w:rsid w:val="00E65EB3"/>
    <w:rsid w:val="00E73DC8"/>
    <w:rsid w:val="00EC2325"/>
    <w:rsid w:val="00EE33EB"/>
    <w:rsid w:val="00EE75BF"/>
    <w:rsid w:val="00EF2DF0"/>
    <w:rsid w:val="00F065DE"/>
    <w:rsid w:val="00F3769D"/>
    <w:rsid w:val="00F80951"/>
    <w:rsid w:val="00F81D97"/>
    <w:rsid w:val="00F905CD"/>
    <w:rsid w:val="00FA2DEB"/>
    <w:rsid w:val="00FB5E61"/>
    <w:rsid w:val="00FC6C24"/>
    <w:rsid w:val="00FD2023"/>
    <w:rsid w:val="00FE0B74"/>
    <w:rsid w:val="00FE142F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44B1D0"/>
  <w15:docId w15:val="{BB77F72E-C443-4BD8-96DD-BECFA43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  <w:style w:type="table" w:styleId="Tableausimple2">
    <w:name w:val="Plain Table 2"/>
    <w:basedOn w:val="TableauNormal"/>
    <w:uiPriority w:val="42"/>
    <w:rsid w:val="002454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454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Mentionnonrsolue1">
    <w:name w:val="Mention non résolue1"/>
    <w:basedOn w:val="Policepardfaut"/>
    <w:uiPriority w:val="99"/>
    <w:semiHidden/>
    <w:unhideWhenUsed/>
    <w:rsid w:val="007E1E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E1E6B"/>
    <w:rPr>
      <w:color w:val="800080" w:themeColor="followedHyperlink"/>
      <w:u w:val="single"/>
    </w:rPr>
  </w:style>
  <w:style w:type="table" w:customStyle="1" w:styleId="Tableausimple31">
    <w:name w:val="Tableau simple 31"/>
    <w:basedOn w:val="TableauNormal"/>
    <w:uiPriority w:val="43"/>
    <w:rsid w:val="00B66B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D44344"/>
    <w:pPr>
      <w:suppressAutoHyphens/>
      <w:autoSpaceDN w:val="0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07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D2CB-7AC5-41CA-A0B4-11BB775B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GERARD Anais</cp:lastModifiedBy>
  <cp:revision>5</cp:revision>
  <cp:lastPrinted>2019-06-07T08:51:00Z</cp:lastPrinted>
  <dcterms:created xsi:type="dcterms:W3CDTF">2024-02-07T11:12:00Z</dcterms:created>
  <dcterms:modified xsi:type="dcterms:W3CDTF">2024-12-23T15:40:00Z</dcterms:modified>
</cp:coreProperties>
</file>